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360" w:lineRule="auto"/>
        <w:ind w:firstLine="284"/>
        <w:rPr>
          <w:rFonts w:ascii="Times New Roman" w:cs="Times New Roman" w:eastAsia="Times New Roman" w:hAnsi="Times New Roman"/>
          <w:color w:val="000000"/>
          <w:sz w:val="26"/>
          <w:szCs w:val="26"/>
        </w:rPr>
      </w:pPr>
      <w:r w:rsidDel="00000000" w:rsidR="00000000" w:rsidRPr="00000000">
        <w:rPr>
          <w:rtl w:val="0"/>
        </w:rPr>
      </w:r>
    </w:p>
    <w:tbl>
      <w:tblPr>
        <w:tblStyle w:val="Table1"/>
        <w:tblW w:w="11408.0" w:type="dxa"/>
        <w:jc w:val="left"/>
        <w:tblLayout w:type="fixed"/>
        <w:tblLook w:val="0400"/>
      </w:tblPr>
      <w:tblGrid>
        <w:gridCol w:w="4928"/>
        <w:gridCol w:w="6480"/>
        <w:tblGridChange w:id="0">
          <w:tblGrid>
            <w:gridCol w:w="4928"/>
            <w:gridCol w:w="6480"/>
          </w:tblGrid>
        </w:tblGridChange>
      </w:tblGrid>
      <w:tr>
        <w:trPr>
          <w:cantSplit w:val="0"/>
          <w:tblHeader w:val="0"/>
        </w:trPr>
        <w:tc>
          <w:tcPr/>
          <w:p w:rsidR="00000000" w:rsidDel="00000000" w:rsidP="00000000" w:rsidRDefault="00000000" w:rsidRPr="00000000" w14:paraId="00000002">
            <w:pPr>
              <w:tabs>
                <w:tab w:val="left" w:leader="none" w:pos="426"/>
              </w:tabs>
              <w:spacing w:after="0" w:line="360" w:lineRule="auto"/>
              <w:ind w:firstLine="284"/>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KHOA LUẬT QUỐC TẾ</w:t>
            </w:r>
          </w:p>
          <w:p w:rsidR="00000000" w:rsidDel="00000000" w:rsidP="00000000" w:rsidRDefault="00000000" w:rsidRPr="00000000" w14:paraId="00000003">
            <w:pPr>
              <w:tabs>
                <w:tab w:val="left" w:leader="none" w:pos="426"/>
              </w:tabs>
              <w:spacing w:after="0" w:line="360" w:lineRule="auto"/>
              <w:ind w:firstLine="284"/>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BỘ MÔN</w:t>
            </w:r>
          </w:p>
          <w:p w:rsidR="00000000" w:rsidDel="00000000" w:rsidP="00000000" w:rsidRDefault="00000000" w:rsidRPr="00000000" w14:paraId="00000004">
            <w:pPr>
              <w:tabs>
                <w:tab w:val="left" w:leader="none" w:pos="426"/>
              </w:tabs>
              <w:spacing w:after="0" w:line="360" w:lineRule="auto"/>
              <w:ind w:firstLine="284"/>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rtl w:val="0"/>
              </w:rPr>
              <w:t xml:space="preserve">TƯ PHÁP QUỐC TẾ &amp; LUẬT SO SÁNH</w:t>
            </w:r>
            <w:r w:rsidDel="00000000" w:rsidR="00000000" w:rsidRPr="00000000">
              <w:rPr>
                <w:rtl w:val="0"/>
              </w:rPr>
            </w:r>
          </w:p>
        </w:tc>
        <w:tc>
          <w:tcPr/>
          <w:p w:rsidR="00000000" w:rsidDel="00000000" w:rsidP="00000000" w:rsidRDefault="00000000" w:rsidRPr="00000000" w14:paraId="00000005">
            <w:pPr>
              <w:tabs>
                <w:tab w:val="left" w:leader="none" w:pos="426"/>
              </w:tabs>
              <w:spacing w:after="0" w:line="360" w:lineRule="auto"/>
              <w:ind w:firstLine="284"/>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06">
      <w:pPr>
        <w:tabs>
          <w:tab w:val="left" w:leader="none" w:pos="426"/>
        </w:tabs>
        <w:spacing w:after="0" w:line="360" w:lineRule="auto"/>
        <w:ind w:firstLine="284"/>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7">
      <w:pPr>
        <w:widowControl w:val="0"/>
        <w:tabs>
          <w:tab w:val="left" w:leader="none" w:pos="426"/>
        </w:tabs>
        <w:spacing w:after="0" w:line="360" w:lineRule="auto"/>
        <w:ind w:firstLine="284"/>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ĐỀ TÀI KHOÁ LUẬN NĂM 2026</w:t>
      </w:r>
    </w:p>
    <w:p w:rsidR="00000000" w:rsidDel="00000000" w:rsidP="00000000" w:rsidRDefault="00000000" w:rsidRPr="00000000" w14:paraId="00000008">
      <w:pPr>
        <w:widowControl w:val="0"/>
        <w:tabs>
          <w:tab w:val="left" w:leader="none" w:pos="426"/>
        </w:tabs>
        <w:spacing w:after="0" w:line="360" w:lineRule="auto"/>
        <w:ind w:firstLine="284"/>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BỘ MÔN TƯ PHÁP QUỐC TẾ - LUẬT SO SÁNH</w:t>
      </w:r>
    </w:p>
    <w:p w:rsidR="00000000" w:rsidDel="00000000" w:rsidP="00000000" w:rsidRDefault="00000000" w:rsidRPr="00000000" w14:paraId="00000009">
      <w:pPr>
        <w:widowControl w:val="0"/>
        <w:numPr>
          <w:ilvl w:val="0"/>
          <w:numId w:val="3"/>
        </w:numPr>
        <w:pBdr>
          <w:top w:space="0" w:sz="0" w:val="nil"/>
          <w:left w:space="0" w:sz="0" w:val="nil"/>
          <w:bottom w:space="0" w:sz="0" w:val="nil"/>
          <w:right w:space="0" w:sz="0" w:val="nil"/>
          <w:between w:space="0" w:sz="0" w:val="nil"/>
        </w:pBdr>
        <w:spacing w:after="0" w:line="360" w:lineRule="auto"/>
        <w:ind w:left="0" w:firstLine="284"/>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TƯ PHÁP QUỐC TẾ</w:t>
      </w:r>
    </w:p>
    <w:p w:rsidR="00000000" w:rsidDel="00000000" w:rsidP="00000000" w:rsidRDefault="00000000" w:rsidRPr="00000000" w14:paraId="0000000A">
      <w:pPr>
        <w:numPr>
          <w:ilvl w:val="0"/>
          <w:numId w:val="2"/>
        </w:numPr>
        <w:tabs>
          <w:tab w:val="left" w:leader="none" w:pos="426"/>
        </w:tabs>
        <w:spacing w:after="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Chống “tẩy xanh” (Greenwashing) trong vận tải biển theo pháp luật một số quốc gia - Kinh nghiệm cho Việt Nam.</w:t>
      </w:r>
    </w:p>
    <w:p w:rsidR="00000000" w:rsidDel="00000000" w:rsidP="00000000" w:rsidRDefault="00000000" w:rsidRPr="00000000" w14:paraId="0000000B">
      <w:pPr>
        <w:numPr>
          <w:ilvl w:val="0"/>
          <w:numId w:val="2"/>
        </w:numPr>
        <w:tabs>
          <w:tab w:val="left" w:leader="none" w:pos="426"/>
        </w:tabs>
        <w:spacing w:after="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Xác định luật áp dụng đối với quyền sở hữu tài sản số theo pháp luật một số quốc gia - Kinh nghiệm cho Việt Nam.</w:t>
      </w:r>
    </w:p>
    <w:p w:rsidR="00000000" w:rsidDel="00000000" w:rsidP="00000000" w:rsidRDefault="00000000" w:rsidRPr="00000000" w14:paraId="0000000C">
      <w:pPr>
        <w:numPr>
          <w:ilvl w:val="0"/>
          <w:numId w:val="2"/>
        </w:numPr>
        <w:tabs>
          <w:tab w:val="left" w:leader="none" w:pos="426"/>
        </w:tabs>
        <w:spacing w:after="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Xác định luật áp dụng đối với bồi thường thiệt hại ngoài hợp đồng xảy ra trong thi đấu thể thao có yếu tố nước ngoài - Kinh nghiệm cho Việt Nam.</w:t>
      </w:r>
    </w:p>
    <w:p w:rsidR="00000000" w:rsidDel="00000000" w:rsidP="00000000" w:rsidRDefault="00000000" w:rsidRPr="00000000" w14:paraId="0000000D">
      <w:pPr>
        <w:numPr>
          <w:ilvl w:val="0"/>
          <w:numId w:val="2"/>
        </w:numPr>
        <w:tabs>
          <w:tab w:val="left" w:leader="none" w:pos="426"/>
        </w:tabs>
        <w:spacing w:after="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Quyền tự định đoạt của các bên trong hợp đồng thương mại quốc tế - nghiên cứu so sánh PL các nước và Việt Nam</w:t>
      </w:r>
    </w:p>
    <w:p w:rsidR="00000000" w:rsidDel="00000000" w:rsidP="00000000" w:rsidRDefault="00000000" w:rsidRPr="00000000" w14:paraId="0000000E">
      <w:pPr>
        <w:numPr>
          <w:ilvl w:val="0"/>
          <w:numId w:val="2"/>
        </w:numPr>
        <w:tabs>
          <w:tab w:val="left" w:leader="none" w:pos="426"/>
        </w:tabs>
        <w:spacing w:after="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Giải quyết tranh chấp ( thẩm quyền và Luật áp dụng) đối với các giao dịch liên quan đến tài sản số - kinh nghiệm từ PL các nước cho Việt Nam</w:t>
      </w:r>
    </w:p>
    <w:p w:rsidR="00000000" w:rsidDel="00000000" w:rsidP="00000000" w:rsidRDefault="00000000" w:rsidRPr="00000000" w14:paraId="0000000F">
      <w:pPr>
        <w:numPr>
          <w:ilvl w:val="0"/>
          <w:numId w:val="2"/>
        </w:numPr>
        <w:tabs>
          <w:tab w:val="left" w:leader="none" w:pos="426"/>
        </w:tabs>
        <w:spacing w:after="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Pháp luật áp dụng đối với giao dịch tín chỉ carbon tự nguyện xuyên biên giới - Nghiên cứu so sánh pháp luật các quốc gia và Việt Nam</w:t>
      </w:r>
    </w:p>
    <w:p w:rsidR="00000000" w:rsidDel="00000000" w:rsidP="00000000" w:rsidRDefault="00000000" w:rsidRPr="00000000" w14:paraId="00000010">
      <w:pPr>
        <w:numPr>
          <w:ilvl w:val="0"/>
          <w:numId w:val="2"/>
        </w:numPr>
        <w:tabs>
          <w:tab w:val="left" w:leader="none" w:pos="426"/>
        </w:tabs>
        <w:spacing w:after="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Thẩm quyền và pháp luật áp dụng đối với trách nhiệm bồi thường thiệt hại ngoài hợp đồng có yếu tố nước ngoài do hành vi xâm phạm dự liệu cá nhân trên không gian mạng - nghiên cứu so sánh pháp luật các nước và Việt Nam</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Thẩm quyền của toà án quốc gia đối với tranh chấp dân sự có yếu tố nước ngoài trong bối cảnh phát triển của công nghệ số - Kinh nghiệm từ pháp luật một số quốc gia và bài học kinh nghiệm cho Việt Nam.</w:t>
      </w: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360" w:lineRule="auto"/>
        <w:ind w:left="0" w:firstLine="28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Pháp luật áp dụng đối với tranh chấp dân sự có yếu tố nước ngoài trong bối cảnh phát triển của công nghệ số - Kinh nghiệm từ pháp luật một số quốc gia và bài học kinh nghiệm cho Việt Nam.</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P</w:t>
      </w:r>
      <w:r w:rsidDel="00000000" w:rsidR="00000000" w:rsidRPr="00000000">
        <w:rPr>
          <w:rFonts w:ascii="Times New Roman" w:cs="Times New Roman" w:eastAsia="Times New Roman" w:hAnsi="Times New Roman"/>
          <w:color w:val="000000"/>
          <w:sz w:val="26"/>
          <w:szCs w:val="26"/>
          <w:rtl w:val="0"/>
        </w:rPr>
        <w:t xml:space="preserve">háp luật áp dụng khi giải quyết tranh chấp có yếu tố nước ngoài tại trọng tài theo pháp luật một số quốc gia và pháp luật Việt Nam.</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16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color w:val="000000"/>
          <w:sz w:val="26"/>
          <w:szCs w:val="26"/>
          <w:rtl w:val="0"/>
        </w:rPr>
        <w:t xml:space="preserve">iệu lực của thỏa thuận trọng tài đối với các tranh chấp có yếu tố nước ngoài theo pháp luật một số quốc gia và pháp luật Việt Nam.</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L</w:t>
      </w:r>
      <w:r w:rsidDel="00000000" w:rsidR="00000000" w:rsidRPr="00000000">
        <w:rPr>
          <w:rFonts w:ascii="Times New Roman" w:cs="Times New Roman" w:eastAsia="Times New Roman" w:hAnsi="Times New Roman"/>
          <w:color w:val="000000"/>
          <w:sz w:val="26"/>
          <w:szCs w:val="26"/>
          <w:rtl w:val="0"/>
        </w:rPr>
        <w:t xml:space="preserve">uật nơi có mối liên hệ gắn bó nhất </w:t>
      </w:r>
      <w:r w:rsidDel="00000000" w:rsidR="00000000" w:rsidRPr="00000000">
        <w:rPr>
          <w:rFonts w:ascii="Times New Roman" w:cs="Times New Roman" w:eastAsia="Times New Roman" w:hAnsi="Times New Roman"/>
          <w:sz w:val="26"/>
          <w:szCs w:val="26"/>
          <w:rtl w:val="0"/>
        </w:rPr>
        <w:t xml:space="preserve">trong giải quyết các vụ việc dân sự có yếu tố nước ngoài</w:t>
      </w:r>
      <w:r w:rsidDel="00000000" w:rsidR="00000000" w:rsidRPr="00000000">
        <w:rPr>
          <w:rFonts w:ascii="Times New Roman" w:cs="Times New Roman" w:eastAsia="Times New Roman" w:hAnsi="Times New Roman"/>
          <w:color w:val="000000"/>
          <w:sz w:val="26"/>
          <w:szCs w:val="26"/>
          <w:rtl w:val="0"/>
        </w:rPr>
        <w:t xml:space="preserve"> - Kinh nghiệm từ pháp luật một số quốc gia</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Xung đột pháp luật trong giao dịch tiền điện tử (Cryptocurrency) xuyên biên giới: So sánh pháp luật Việt Nam với EU và Hoa Kỳ</w:t>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Xung đột pháp luật trong hợp đồng lao động từ xa (Remote Work) xuyên biên giới (So sánh pháp luật Việt Nam, EU hoặc ASEAN)</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Thẩm quyền của toà án quốc gia đối với tranh chấp hợp đồng tiêu dùng điện tử - kinh nghiệm theo pháp luật một số quốc gia (E-Consumer contract).</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Xác định thẩm quyền tòa án đối với tranh chấp về quyền riêng tư trong nền tảng mạng xã hội đa quốc gia.</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Thẩm quyền của toà án quốc gia đối với các giao dịch thương mại điện tử có yếu tố nước ngoài theo pháp luật Việt Nam và một số quốc gia. </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Hợp đồng B2B có yếu tố nước ngoài – Thẩm quyền và pháp luật áp dụng theo pháp luật một số quốc gia và Việt Nam.</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Hợp đồng B2C có yếu tố nước ngoài – Thẩm quyền và pháp luật áp dụng theo pháp luật một số quốc gia và Việt Nam.</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Xác định pháp luật áp dụng cho các giao dịch thương mại điện tử có yếu tố nước ngoài theo pháp luật Việt Nam và một số quốc gia. </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Pháp luật áp dụng cho tranh chấp về hợp đồng bảo hiểm y tế quốc tế: Kinh nghiệm từ EU và ASEAN</w:t>
      </w: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Xung đột pháp luật trong quyền nuôi con sau ly hôn có yếu tố nước ngoài: Kinh nghiệm từ Công ước La Hague 1996 và thực tiễn Việt Nam</w:t>
      </w: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Nghiên cứu so sánh một số vấn đề pháp lý về hợp đồng thông minh (Smart contract) theo tư pháp quốc tế một số quốc gia.</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Thẩm quyền của Toà án quốc gia và pháp luật áp dụng cho các giao dịch có yếu tố nước ngoài do công ty ngoại biên - offshore thực hiện theo kinh nghiệm một số nước.</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Pháp luật áp dụng cho các hợp đồng có yếu tố nước ngoài do công ty ngoại biên – 0ffchore thực hiện theo kinh nghiệm một số nước.</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Thẩm quyền của Toà án quốc gia đối với các hợp đồng có yếu tố nước ngoài do công ty đa quốc gia thực hiện theo kinh nghiệm một số nước.</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Pháp luật áp dụng cho các hợp đồng có yếu tố nước ngoài do công ty đa quốc gia thực hiện theo kinh nghiệm một số nước.</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Thoả thuận chọn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Toà án trong các quan hệ dân sự có yếu tố nước ngoài theo pháp luật Liên minh Châu Âu - Kinh nghiệm cho pháp luật Việt Nam.</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Thẩm quyền của tòa án quốc gia đối với vụ việc dân sự có yếu tố nước ngoài theo pháp luật Anh và Hoa Kỳ - Kinh nghiệm hoàn thiện pháp luật Việt Nam.</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Giới hạn thẩm quyền của Toà án quốc gia đối với các vụ việc dân sự có YTNN theo pháp luật </w:t>
      </w:r>
      <w:r w:rsidDel="00000000" w:rsidR="00000000" w:rsidRPr="00000000">
        <w:rPr>
          <w:rFonts w:ascii="Times New Roman" w:cs="Times New Roman" w:eastAsia="Times New Roman" w:hAnsi="Times New Roman"/>
          <w:sz w:val="26"/>
          <w:szCs w:val="26"/>
          <w:rtl w:val="0"/>
        </w:rPr>
        <w:t xml:space="preserve">một số quốc gia</w:t>
      </w:r>
      <w:r w:rsidDel="00000000" w:rsidR="00000000" w:rsidRPr="00000000">
        <w:rPr>
          <w:rFonts w:ascii="Times New Roman" w:cs="Times New Roman" w:eastAsia="Times New Roman" w:hAnsi="Times New Roman"/>
          <w:color w:val="000000"/>
          <w:sz w:val="26"/>
          <w:szCs w:val="26"/>
          <w:rtl w:val="0"/>
        </w:rPr>
        <w:t xml:space="preserve"> và</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Việt Nam.</w:t>
      </w:r>
    </w:p>
    <w:p w:rsidR="00000000" w:rsidDel="00000000" w:rsidP="00000000" w:rsidRDefault="00000000" w:rsidRPr="00000000" w14:paraId="00000028">
      <w:pPr>
        <w:widowControl w:val="0"/>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Thoả thuận lựa chọn luật áp dụng theo pháp luật một số nước - Kinh nghiệm tham khảo cho Việt Nam.</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Quyền chọn luật của các bên trong các quan hệ dân sự ngoài hợp đồng có yếu tố nước ngoài theo pháp luật các nước – Kinh nghiệm cho pháp luật Việt Nam.                                                                                                                                                                                                                                                                                                  </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Uỷ thác tư pháp tại Việt Nam – Những vấn đề lý luận và thực tiễn.</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Nghiên cứu so sánh Pháp luật Hoa Kỳ và pháp luật Việt Nam về công nhận và cho thi hành Bản án, quyết định của tòa án nước ngoài.</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360" w:lineRule="auto"/>
        <w:ind w:left="0" w:firstLine="284"/>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Điều kiện công nhận và cho thi hành bản án, quyết định dân sự thương mại của toà án nước ngoài theo Công ước Lahay 2019 - kinh nghiệm một số quốc gia.</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360" w:lineRule="auto"/>
        <w:ind w:left="0" w:firstLine="284"/>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Công nhận và cho thi hành bản án, quyết định của toà án nước ngoài theo Công ước Lahay 2019 - Đánh giá khả năng gia nhập của Việt Nam.</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Thực tiễn công nhận phán quyết trọng tài theo Công ước New York 1958 tại các quốc gia và kinh nghiệm cho Việt Nam.</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360" w:lineRule="auto"/>
        <w:ind w:left="0" w:firstLine="284"/>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Vấn đề pháp điển hoá Tư pháp quốc tế - Kinh nghiệm một số quốc gia trên thế giới.</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II. VẬN TẢI HÀNG HẢI QUỐC TẾ</w:t>
      </w: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Hợp đồng bảo hiểm hàng hải (hàng hóa, thân tàu, trách nhiệm dân sự chủ tàu) theo pháp luật một số quốc gia, Điều ước quốc tế và pháp luật Việt Nam.</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Trách nhiệm của người vận chuyển trong hợp đồng vận chuyển hàng hoá bằng đường biển theo chứng từ vận tải theo Công ước quốc tế và pháp luật Việt Nam.</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Hợp đồng thuê tàu chuyến (</w:t>
      </w:r>
      <w:r w:rsidDel="00000000" w:rsidR="00000000" w:rsidRPr="00000000">
        <w:rPr>
          <w:rFonts w:ascii="Times New Roman" w:cs="Times New Roman" w:eastAsia="Times New Roman" w:hAnsi="Times New Roman"/>
          <w:b w:val="1"/>
          <w:bCs w:val="1"/>
          <w:i w:val="1"/>
          <w:iCs w:val="1"/>
          <w:color w:val="000000"/>
          <w:sz w:val="26"/>
          <w:szCs w:val="26"/>
          <w:rtl w:val="0"/>
        </w:rPr>
        <w:t xml:space="preserve">Voyage Charter Party)</w:t>
      </w:r>
      <w:r w:rsidDel="00000000" w:rsidR="00000000" w:rsidRPr="00000000">
        <w:rPr>
          <w:rFonts w:ascii="Times New Roman" w:cs="Times New Roman" w:eastAsia="Times New Roman" w:hAnsi="Times New Roman"/>
          <w:color w:val="000000"/>
          <w:sz w:val="26"/>
          <w:szCs w:val="26"/>
          <w:rtl w:val="0"/>
        </w:rPr>
        <w:t xml:space="preserve"> theo pháp luật một số nước và Việt Nam.</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Hợp đồng thuê tàu định hạn (</w:t>
      </w:r>
      <w:r w:rsidDel="00000000" w:rsidR="00000000" w:rsidRPr="00000000">
        <w:rPr>
          <w:rFonts w:ascii="Times New Roman" w:cs="Times New Roman" w:eastAsia="Times New Roman" w:hAnsi="Times New Roman"/>
          <w:b w:val="1"/>
          <w:bCs w:val="1"/>
          <w:color w:val="000000"/>
          <w:sz w:val="26"/>
          <w:szCs w:val="26"/>
          <w:rtl w:val="0"/>
        </w:rPr>
        <w:t xml:space="preserve">Time </w:t>
      </w:r>
      <w:r w:rsidDel="00000000" w:rsidR="00000000" w:rsidRPr="00000000">
        <w:rPr>
          <w:rFonts w:ascii="Times New Roman" w:cs="Times New Roman" w:eastAsia="Times New Roman" w:hAnsi="Times New Roman"/>
          <w:b w:val="1"/>
          <w:bCs w:val="1"/>
          <w:i w:val="1"/>
          <w:iCs w:val="1"/>
          <w:color w:val="000000"/>
          <w:sz w:val="26"/>
          <w:szCs w:val="26"/>
          <w:rtl w:val="0"/>
        </w:rPr>
        <w:t xml:space="preserve">Charter Party)</w:t>
      </w:r>
      <w:r w:rsidDel="00000000" w:rsidR="00000000" w:rsidRPr="00000000">
        <w:rPr>
          <w:rFonts w:ascii="Times New Roman" w:cs="Times New Roman" w:eastAsia="Times New Roman" w:hAnsi="Times New Roman"/>
          <w:color w:val="000000"/>
          <w:sz w:val="26"/>
          <w:szCs w:val="26"/>
          <w:rtl w:val="0"/>
        </w:rPr>
        <w:t xml:space="preserve"> theo pháp luật một số nước và Việt Nam.</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Những vấn đề pháp lý về vận đơn (Bill of Lading) trong các hợp đồng vận chuyển hàng hoá bằng đường biển.</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Giải quyết tranh chấp trong các hợp đồng vận chuyển hàng hoá bằng đường biển tại một số quốc gia.</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 Rủi ro và trách nhiệm dân sự phát sinh từ tai nạn đâm va trên biển.</w:t>
      </w: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 Trách nhiệm và giới hạn trách nhiệm đối với ô nhiễm môi trường biển.</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Giới hạn trách nhiệm của chủ tàu biển - Nghiên cứu Công ước quốc tế và pháp luật quốc gia.</w:t>
      </w: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Trách nhiệm dân sự đối với ô nhiễm dầu phát sinh từ hoạt động của tàu theo Công ước quốc tế và pháp luật quốc gia.</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426"/>
        </w:tabs>
        <w:spacing w:after="0" w:line="360" w:lineRule="auto"/>
        <w:ind w:left="0" w:firstLine="0"/>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sz w:val="26"/>
          <w:szCs w:val="26"/>
          <w:rtl w:val="0"/>
        </w:rPr>
        <w:t xml:space="preserve">    III. L</w:t>
      </w:r>
      <w:r w:rsidDel="00000000" w:rsidR="00000000" w:rsidRPr="00000000">
        <w:rPr>
          <w:rFonts w:ascii="Times New Roman" w:cs="Times New Roman" w:eastAsia="Times New Roman" w:hAnsi="Times New Roman"/>
          <w:b w:val="1"/>
          <w:bCs w:val="1"/>
          <w:color w:val="000000"/>
          <w:sz w:val="26"/>
          <w:szCs w:val="26"/>
          <w:rtl w:val="0"/>
        </w:rPr>
        <w:t xml:space="preserve">UẬT QUỐC TẾ VỀ SỞ HỮU TRÍ TUỆ</w:t>
      </w:r>
    </w:p>
    <w:p w:rsidR="00000000" w:rsidDel="00000000" w:rsidP="00000000" w:rsidRDefault="00000000" w:rsidRPr="00000000" w14:paraId="0000003C">
      <w:pPr>
        <w:numPr>
          <w:ilvl w:val="0"/>
          <w:numId w:val="4"/>
        </w:numPr>
        <w:tabs>
          <w:tab w:val="left" w:leader="none" w:pos="426"/>
        </w:tabs>
        <w:spacing w:after="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81b3a"/>
          <w:sz w:val="26"/>
          <w:szCs w:val="26"/>
          <w:highlight w:val="white"/>
          <w:rtl w:val="0"/>
        </w:rPr>
        <w:t xml:space="preserve">So sánh bảo hộ nhãn hiệu cho hàng hóa số trong môi trường thương mại điện tử: Hoa Kỳ, EU và Việt Nam</w:t>
      </w:r>
    </w:p>
    <w:p w:rsidR="00000000" w:rsidDel="00000000" w:rsidP="00000000" w:rsidRDefault="00000000" w:rsidRPr="00000000" w14:paraId="0000003D">
      <w:pPr>
        <w:numPr>
          <w:ilvl w:val="0"/>
          <w:numId w:val="4"/>
        </w:numPr>
        <w:tabs>
          <w:tab w:val="left" w:leader="none" w:pos="426"/>
        </w:tabs>
        <w:spacing w:after="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81b3a"/>
          <w:sz w:val="26"/>
          <w:szCs w:val="26"/>
          <w:highlight w:val="white"/>
          <w:rtl w:val="0"/>
        </w:rPr>
        <w:t xml:space="preserve">Bảo hộ quyền tác giả đối với nội dung số trên nền tảng trực tuyến: So sánh pháp luật Nhật Bản, Hàn Quốc và Việt Nam</w:t>
      </w:r>
      <w:r w:rsidDel="00000000" w:rsidR="00000000" w:rsidRPr="00000000">
        <w:rPr>
          <w:rtl w:val="0"/>
        </w:rPr>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Hiệp ước pháp luật về nhãn hiệu Singapore 2006 và khả năng gia nhập của Việt Nam.</w:t>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Nghiên cứu so sánh pháp luật EU và Việt Nam về tính phân biệt của nhãn hiệu hàng hóa. </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Bảo hộ nhãn hiệu âm thanh theo pháp luật các quốc gia tiên tiến và kinh nghiệm cho Việt Nam.</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Ngoại lệ quyền tác giả đối với người khuyết tật nhìn - Kinh nghiệm các quốc gia trên thế giới.</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Tư cách tác giả đối với sáng chế của AI (trí tuệ nhân tạo).</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Vấn đề định giá đối với đối tượng quyền sở hữu trí tuệ.</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Bảo vệ quyền sở hữu trí tuệ trong thương mại điện tử.</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Từ bỏ quyền sở hữu trí tuệ đối với Vaccine Covid 19 - thực tiễn thế giới và kinh nghiệm cho Việt Nam.</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Đình chỉ các quyền sở hữu trí tuệ đối với vaccine covid 19.</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Quyền SHTT trong đại dịch Covid 19.</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Tự do hoá tri thức và vấn đề bản quyền trong hoạt động thư viện</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Pháp luật sở hữu trí tuệ trong lĩnh vực dược phẩm và vấn đề nhân quyền.</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Tính tương thích của pháp luật sở hữu trí tuệ Việt Nam trong các hiệp định thương mại xuyên biên giới thế hệ mới.</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Ngoại lệ quyền tác giả trong pháp luật các nước và kinh nghiệm cho Việt Nam.</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Hiệp định WIPO về quyền tác giả và khả năng gia nhập của Việt Nam.</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Bảo hộ nhãn hiệu tập thể theo pháp luật Hoa Kỳ và kinh nghiệm cho Việt Nam.</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Bảo hộ nhãn hiệu phi truyền thống trong pháp luật các nước và bài học kinh nghiệm cho Việt Nam.</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Tranh chấp nhãn hiệu Jet và Hero và vấn đề bảo hộ nhãn hiệu nước ngoài tại Việt Nam.</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Bảo hộ sáng chế đã được bảo hộ với chức năng sử dụng mới theo pháp luật một số nước – Bài học kinh nghiệm cho Việt Nam.</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270"/>
        </w:tabs>
        <w:spacing w:after="0" w:line="360" w:lineRule="auto"/>
        <w:ind w:left="283.46456692913375" w:firstLine="0"/>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sz w:val="26"/>
          <w:szCs w:val="26"/>
          <w:rtl w:val="0"/>
        </w:rPr>
        <w:t xml:space="preserve">IV. </w:t>
      </w:r>
      <w:r w:rsidDel="00000000" w:rsidR="00000000" w:rsidRPr="00000000">
        <w:rPr>
          <w:rFonts w:ascii="Times New Roman" w:cs="Times New Roman" w:eastAsia="Times New Roman" w:hAnsi="Times New Roman"/>
          <w:b w:val="1"/>
          <w:bCs w:val="1"/>
          <w:color w:val="000000"/>
          <w:sz w:val="26"/>
          <w:szCs w:val="26"/>
          <w:rtl w:val="0"/>
        </w:rPr>
        <w:t xml:space="preserve">LUẬT SO SÁNH</w:t>
      </w:r>
    </w:p>
    <w:p w:rsidR="00000000" w:rsidDel="00000000" w:rsidP="00000000" w:rsidRDefault="00000000" w:rsidRPr="00000000" w14:paraId="00000052">
      <w:pPr>
        <w:numPr>
          <w:ilvl w:val="0"/>
          <w:numId w:val="1"/>
        </w:numPr>
        <w:tabs>
          <w:tab w:val="left" w:leader="none" w:pos="426"/>
        </w:tabs>
        <w:spacing w:after="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81b3a"/>
          <w:sz w:val="26"/>
          <w:szCs w:val="26"/>
          <w:highlight w:val="white"/>
          <w:rtl w:val="0"/>
        </w:rPr>
        <w:t xml:space="preserve">So sánh mô hình tổ chức và quản trị trường đại học công lập: Kinh nghiệm từ Nhật Bản, Hàn Quốc và Việt Nam</w:t>
      </w:r>
    </w:p>
    <w:p w:rsidR="00000000" w:rsidDel="00000000" w:rsidP="00000000" w:rsidRDefault="00000000" w:rsidRPr="00000000" w14:paraId="00000053">
      <w:pPr>
        <w:numPr>
          <w:ilvl w:val="0"/>
          <w:numId w:val="1"/>
        </w:numPr>
        <w:tabs>
          <w:tab w:val="left" w:leader="none" w:pos="426"/>
        </w:tabs>
        <w:spacing w:after="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81b3a"/>
          <w:sz w:val="26"/>
          <w:szCs w:val="26"/>
          <w:highlight w:val="white"/>
          <w:rtl w:val="0"/>
        </w:rPr>
        <w:t xml:space="preserve">So sánh cơ chế bảo vệ người tiêu dùng trong thương mại điện tử: Pháp luật EU, Nhật Bản và Việt Nam</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Tìm hiểu về hợp đồng hôn nhân (Pre-nuptial Agreement) trong pháp luật Pháp và Hoa Kỳ.</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0" w:line="360" w:lineRule="auto"/>
        <w:ind w:left="0" w:firstLine="284"/>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Tìm hiểu pháp luật Vương quốc Anh và Hoa Kỳ về Quyền miễn trừ Nhà nước của quốc gia nước ngoài.</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360" w:lineRule="auto"/>
        <w:ind w:left="0" w:firstLine="284"/>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Giải quyết tranh chấp bằng trọng tài thương mại trong HTPL Anh - Kinh nghiệm cho Việt Nam.</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Quyền được sống trong môi trường trong lành theo pháp luật một số nước - Kinh nghiệm cho Việt Nam.</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Đạo đức nghề luật sư trong bối cảnh hội nhập tại một số nước - Kinh nghiệm cho Việt Nam.</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Quyền của vật nuôi trong một số hệ thống pháp luật - Kinh nghiệm cho Việt Nam.</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Quyền nhận con nuôi của cha mẹ đồng giới trong một số hệ thống pháp luật - Kinh nghiệm cho Việt Nam.</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Tiếp nhận pháp luật - Lý luận, lịch sử và xu hướng.</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Pháp luật Hồi giáo về hợp đồng </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Minh bạch thông tin doanh nghiệp theo quy định của pháp luật Anh - Kinh nghiệm cho Việt Nam</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Trao đổi tín chỉ carbon tự nguyện - Nghiên cứu so sánh pháp luật Nhật Bản và Việt Nam</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firstLine="28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Pháp luật Hàn Quốc về trí tuệ nhân tạo - Kinh nghiệm cho Việt Nam</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426"/>
        </w:tabs>
        <w:spacing w:after="0" w:line="360" w:lineRule="auto"/>
        <w:ind w:firstLine="284"/>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426"/>
        </w:tabs>
        <w:spacing w:after="0" w:line="360" w:lineRule="auto"/>
        <w:ind w:firstLine="284"/>
        <w:jc w:val="both"/>
        <w:rPr>
          <w:rFonts w:ascii="Times New Roman" w:cs="Times New Roman" w:eastAsia="Times New Roman" w:hAnsi="Times New Roman"/>
          <w:color w:val="000000"/>
          <w:sz w:val="26"/>
          <w:szCs w:val="26"/>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